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348</w:t>
      </w:r>
    </w:p>
    <w:p>
      <w:r>
        <w:t>Bundesgericht (BGE), 1978-12-14, FR</w:t>
      </w:r>
    </w:p>
    <w:p>
      <w:r>
        <w:rPr>
          <w:b/>
        </w:rPr>
        <w:t xml:space="preserve">Quelle: </w:t>
      </w:r>
      <w:r>
        <w:t>https://mcp.opencaselaw.ch/entscheid/bge_104 II 348</w:t>
      </w:r>
    </w:p>
    <w:p>
      <w:r>
        <w:t>FR: ATF 104 II 348</w:t>
      </w:r>
    </w:p>
    <w:p>
      <w:r>
        <w:t>IT: DTF 104 II 348</w:t>
      </w:r>
    </w:p>
    <w:p>
      <w:pPr>
        <w:pStyle w:val="Heading2"/>
      </w:pPr>
      <w:r>
        <w:t>Regeste</w:t>
      </w:r>
    </w:p>
    <w:p>
      <w:r>
        <w:t>Regeste Bauhandwerkerpfandrecht (Art. 837 Abs. 1 Ziff. 3 ZGB). 1. Wer Frischbeton herstellt und für den Bau eines Hauses an ein Bauunternehmen liefert, hat Anspruch auf ein Bauhandwerkerpfandrecht (Bestätigung der Rechtsprechung) (E. II 1). 2. Die Frist von drei Monaten, innert welcher das Pfandrecht einzutragen ist (Art. 839 Abs. 2 ZGB), beginnt nicht mit jeder Lieferung von Frischbeton zu laufen, sondern erst mit der letzten Lieferung (E. II 2). 3. Der Generalunternehmer, der schuldhaft ein Werk abliefert, das mit einem gesetzlichen Grundpfandrecht zu Gunsten eines Unterakkordanten belastet ist, erfüllt den Vertrag mangelhaft; der Besteller hat in einem solchen Fall das Recht, vom vereinbarten Preis einen Abzug zu machen (E. III).</w:t>
      </w:r>
    </w:p>
    <w:p>
      <w:pPr>
        <w:pStyle w:val="Heading2"/>
      </w:pPr>
      <w:r>
        <w:t>Erwägungen</w:t>
      </w:r>
    </w:p>
    <w:p>
      <w:r>
        <w:rPr>
          <w:b/>
        </w:rPr>
        <w:t>E. 1</w:t>
      </w:r>
    </w:p>
    <w:p>
      <w:r>
        <w:t>Rejette le recours en tant qu'il est dirigé contre la demanderesse Bétonfrais + Pompages S.A. et confirme le dispositif I du jugement du 16 juin 1978. BGE 104 II 348 S. 356</w:t>
      </w:r>
    </w:p>
    <w:p>
      <w:r>
        <w:rPr>
          <w:b/>
        </w:rPr>
        <w:t>E. 2</w:t>
      </w:r>
    </w:p>
    <w:p>
      <w:r>
        <w:t>Admet le recours en tant qu'il est dirigé contre Béton Bau S.A. en liquidation concordataire et réforme les jugements du 21 mars 1977 et du 16 juin 1978 en ce sens que la défenderesse Le Trajan Lausanne S.A. est en droit de déduire de sa dette envers Béton Bau S.A. en liquidation concordataire, à concurrence de 84'040 fr. 20, toute somme qu'elle aurait payée ou devrait payer à la demanderesse Bétonfrais + Pompages S.A. pour dégrever son immeuble de l'hypothèque légale inscrite en faveur de cette société.</w:t>
      </w:r>
    </w:p>
    <w:p>
      <w:r>
        <w:rPr>
          <w:b/>
        </w:rPr>
        <w:t>E. 3</w:t>
      </w:r>
    </w:p>
    <w:p>
      <w:r>
        <w:t>Déclare le recours sans objet dans la mesure où il vise le dispositif II du jugement du 21 mars 1977, dispositif annulé par arrêt du 22 juin 1977 de la Chambre des recours du Tribunal cantonal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